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ection"/>
        <w:rPr/>
      </w:pPr>
      <w:r>
        <w:rPr/>
      </w:r>
    </w:p>
    <w:p>
      <w:pPr>
        <w:pStyle w:val="Section"/>
        <w:jc w:val="center"/>
        <w:rPr/>
      </w:pPr>
      <w:r>
        <w:rPr/>
      </w:r>
    </w:p>
    <w:p>
      <w:pPr>
        <w:pStyle w:val="AHead"/>
        <w:jc w:val="center"/>
        <w:rPr/>
      </w:pPr>
      <w:r>
        <w:rPr/>
        <w:t>4822 – Database Applications</w:t>
      </w:r>
    </w:p>
    <w:p>
      <w:pPr>
        <w:pStyle w:val="AHead"/>
        <w:jc w:val="center"/>
        <w:rPr/>
      </w:pPr>
      <w:r>
        <w:rPr/>
      </w:r>
    </w:p>
    <w:p>
      <w:pPr>
        <w:pStyle w:val="Normal"/>
        <w:rPr/>
      </w:pPr>
      <w:r>
        <w:rPr/>
      </w:r>
    </w:p>
    <w:p>
      <w:pPr>
        <w:pStyle w:val="AHead"/>
        <w:rPr/>
      </w:pPr>
      <w:r>
        <w:rPr/>
        <w:t>General Course Information</w:t>
      </w:r>
    </w:p>
    <w:p>
      <w:pPr>
        <w:pStyle w:val="AHead"/>
        <w:rPr/>
      </w:pPr>
      <w:r>
        <w:rPr/>
      </w:r>
    </w:p>
    <w:p>
      <w:pPr>
        <w:pStyle w:val="Normal"/>
        <w:rPr>
          <w:b/>
          <w:b/>
          <w:sz w:val="24"/>
        </w:rPr>
      </w:pPr>
      <w:r>
        <w:rPr>
          <w:b/>
          <w:sz w:val="24"/>
        </w:rPr>
        <w:t xml:space="preserve">Instructor: </w:t>
      </w:r>
      <w:r>
        <w:rPr>
          <w:b/>
          <w:sz w:val="24"/>
        </w:rPr>
        <w:t>Brian Powell</w:t>
      </w:r>
    </w:p>
    <w:p>
      <w:pPr>
        <w:pStyle w:val="Normal"/>
        <w:rPr>
          <w:b/>
          <w:b/>
          <w:sz w:val="24"/>
        </w:rPr>
      </w:pPr>
      <w:r>
        <w:rPr>
          <w:b/>
          <w:sz w:val="24"/>
        </w:rPr>
        <w:t xml:space="preserve">Office: </w:t>
      </w:r>
      <w:r>
        <w:rPr>
          <w:b/>
          <w:sz w:val="24"/>
        </w:rPr>
        <w:t>Meshel Hall, Rm 320</w:t>
      </w:r>
    </w:p>
    <w:p>
      <w:pPr>
        <w:pStyle w:val="Normal"/>
        <w:rPr>
          <w:b/>
          <w:b/>
          <w:sz w:val="24"/>
        </w:rPr>
      </w:pPr>
      <w:r>
        <w:rPr>
          <w:b/>
          <w:sz w:val="24"/>
        </w:rPr>
        <w:t xml:space="preserve">Office Hours: </w:t>
      </w:r>
      <w:r>
        <w:rPr>
          <w:b/>
          <w:sz w:val="24"/>
        </w:rPr>
        <w:t>TR 3-5</w:t>
      </w:r>
    </w:p>
    <w:p>
      <w:pPr>
        <w:pStyle w:val="Normal"/>
        <w:rPr/>
      </w:pPr>
      <w:r>
        <w:rPr>
          <w:b/>
          <w:sz w:val="24"/>
        </w:rPr>
        <w:t xml:space="preserve">E-Mail: </w:t>
      </w:r>
      <w:r>
        <w:rPr>
          <w:b/>
          <w:sz w:val="24"/>
        </w:rPr>
        <w:t>btpowell@ysu.edu</w:t>
      </w:r>
    </w:p>
    <w:p>
      <w:pPr>
        <w:pStyle w:val="AHead"/>
        <w:rPr>
          <w:b w:val="false"/>
          <w:b w:val="false"/>
          <w:sz w:val="24"/>
        </w:rPr>
      </w:pPr>
      <w:r>
        <w:rPr>
          <w:b w:val="false"/>
          <w:sz w:val="24"/>
        </w:rPr>
      </w:r>
    </w:p>
    <w:p>
      <w:pPr>
        <w:pStyle w:val="Normal"/>
        <w:widowControl w:val="false"/>
        <w:suppressAutoHyphens w:val="true"/>
        <w:autoSpaceDE w:val="false"/>
        <w:rPr/>
      </w:pPr>
      <w:r>
        <w:rPr>
          <w:b/>
          <w:sz w:val="24"/>
        </w:rPr>
        <w:t>Textbook:</w:t>
      </w:r>
      <w:r>
        <w:rPr>
          <w:sz w:val="24"/>
        </w:rPr>
        <w:t xml:space="preserve"> Casteel, Joan, Oracle 11g: PL/SQL Programming, Second Edition. Course Technology Incorporated, 2013, ISBN 13: 978-1-133-94736-3</w:t>
      </w:r>
    </w:p>
    <w:p>
      <w:pPr>
        <w:pStyle w:val="AHead"/>
        <w:tabs>
          <w:tab w:val="left" w:pos="1440" w:leader="none"/>
        </w:tabs>
        <w:ind w:left="1440" w:hanging="1440"/>
        <w:rPr>
          <w:sz w:val="24"/>
        </w:rPr>
      </w:pPr>
      <w:r>
        <w:rPr>
          <w:sz w:val="24"/>
        </w:rPr>
      </w:r>
    </w:p>
    <w:p>
      <w:pPr>
        <w:pStyle w:val="Normal"/>
        <w:rPr>
          <w:b/>
          <w:b/>
          <w:sz w:val="24"/>
        </w:rPr>
      </w:pPr>
      <w:r>
        <w:rPr>
          <w:b/>
          <w:sz w:val="24"/>
        </w:rPr>
        <w:t>Course Description</w:t>
      </w:r>
    </w:p>
    <w:p>
      <w:pPr>
        <w:pStyle w:val="Normal"/>
        <w:spacing w:before="280" w:after="280"/>
        <w:rPr>
          <w:sz w:val="24"/>
          <w:szCs w:val="24"/>
        </w:rPr>
      </w:pPr>
      <w:r>
        <w:rPr>
          <w:sz w:val="24"/>
          <w:szCs w:val="24"/>
        </w:rPr>
        <w:t>This course is designed to provide a working introduction to PL/SQL programming within the Oracle RDBMS environment. The course begins with an introduction to the PL/SQL language fundamentals of block program structure, variables, cursors, and exceptions. The remainder of the course covers creating program units including procedures, functions, triggers and packages, Oracle-supplied packages, SQL*Loader, dynamic SQL, and object technology.</w:t>
      </w:r>
    </w:p>
    <w:p>
      <w:pPr>
        <w:pStyle w:val="Normal"/>
        <w:rPr/>
      </w:pPr>
      <w:r>
        <w:rPr>
          <w:b/>
          <w:bCs/>
          <w:sz w:val="24"/>
          <w:szCs w:val="24"/>
        </w:rPr>
        <w:t>Course Objectives</w:t>
        <w:br/>
      </w:r>
      <w:r>
        <w:rPr>
          <w:sz w:val="24"/>
          <w:szCs w:val="24"/>
        </w:rPr>
        <w:t>Upon completion of this course, the student will be able to:</w:t>
        <w:br/>
        <w:t>- Create PL/SQL program blocks</w:t>
        <w:br/>
        <w:t>- Identify and use appropriate programming constructs to fulfill application logic needs</w:t>
        <w:br/>
        <w:t>- Manipulate database tables using PL/SQL programming</w:t>
        <w:br/>
        <w:t>- Build error trapping facilities within PL/SQL programs</w:t>
        <w:br/>
        <w:t>- Create PL/SQL program units including: procedures, functions, triggers, and packages</w:t>
      </w:r>
    </w:p>
    <w:p>
      <w:pPr>
        <w:pStyle w:val="Normal"/>
        <w:rPr/>
      </w:pPr>
      <w:r>
        <w:rPr>
          <w:sz w:val="24"/>
          <w:szCs w:val="24"/>
        </w:rPr>
        <w:t>- Use Oracle-supplied packages in PL/SQL program units</w:t>
      </w:r>
    </w:p>
    <w:p>
      <w:pPr>
        <w:pStyle w:val="Normal"/>
        <w:rPr/>
      </w:pPr>
      <w:r>
        <w:rPr>
          <w:sz w:val="24"/>
          <w:szCs w:val="24"/>
        </w:rPr>
        <w:t>- Load data into Oracle tables from external files using the SQL*Loader utility</w:t>
      </w:r>
    </w:p>
    <w:p>
      <w:pPr>
        <w:pStyle w:val="Normal"/>
        <w:tabs>
          <w:tab w:val="left" w:pos="5490" w:leader="none"/>
        </w:tabs>
        <w:rPr>
          <w:sz w:val="24"/>
          <w:szCs w:val="24"/>
        </w:rPr>
      </w:pPr>
      <w:r>
        <w:rPr>
          <w:sz w:val="24"/>
          <w:szCs w:val="24"/>
        </w:rPr>
        <w:t>- Identify uses of dynamic SQL and object technology</w:t>
        <w:tab/>
      </w:r>
    </w:p>
    <w:p>
      <w:pPr>
        <w:pStyle w:val="Normal"/>
        <w:spacing w:before="280" w:after="280"/>
        <w:rPr>
          <w:sz w:val="24"/>
          <w:szCs w:val="24"/>
        </w:rPr>
      </w:pPr>
      <w:r>
        <w:rPr>
          <w:sz w:val="24"/>
          <w:szCs w:val="24"/>
        </w:rPr>
      </w:r>
      <w:r>
        <w:br w:type="page"/>
      </w:r>
    </w:p>
    <w:p>
      <w:pPr>
        <w:pStyle w:val="Normal"/>
        <w:spacing w:before="280" w:after="280"/>
        <w:rPr>
          <w:b/>
          <w:b/>
          <w:sz w:val="24"/>
        </w:rPr>
      </w:pPr>
      <w:r>
        <w:rPr>
          <w:b/>
          <w:sz w:val="24"/>
        </w:rPr>
        <w:t>Web Site</w:t>
      </w:r>
    </w:p>
    <w:p>
      <w:pPr>
        <w:pStyle w:val="Normal"/>
        <w:rPr/>
      </w:pPr>
      <w:r>
        <w:rPr>
          <w:sz w:val="24"/>
        </w:rPr>
        <w:t xml:space="preserve">Supplementary information for the course is available </w:t>
      </w:r>
      <w:r>
        <w:rPr>
          <w:b w:val="false"/>
          <w:bCs w:val="false"/>
          <w:sz w:val="24"/>
        </w:rPr>
        <w:t>on blackboard</w:t>
      </w:r>
      <w:r>
        <w:rPr>
          <w:sz w:val="24"/>
        </w:rPr>
        <w:t xml:space="preserve">. The Web site contains class notes, PowerPoint slides, class announcements, the course syllabus, test dates, and other information for the course. </w:t>
      </w:r>
    </w:p>
    <w:p>
      <w:pPr>
        <w:pStyle w:val="Normal"/>
        <w:rPr>
          <w:sz w:val="24"/>
        </w:rPr>
      </w:pPr>
      <w:r>
        <w:rPr>
          <w:sz w:val="24"/>
        </w:rPr>
      </w:r>
    </w:p>
    <w:p>
      <w:pPr>
        <w:pStyle w:val="Normal"/>
        <w:rPr>
          <w:sz w:val="24"/>
        </w:rPr>
      </w:pPr>
      <w:r>
        <w:rPr/>
      </w:r>
    </w:p>
    <w:p>
      <w:pPr>
        <w:pStyle w:val="Normal"/>
        <w:rPr>
          <w:sz w:val="24"/>
        </w:rPr>
      </w:pPr>
      <w:r>
        <w:rPr>
          <w:sz w:val="24"/>
        </w:rPr>
      </w:r>
    </w:p>
    <w:p>
      <w:pPr>
        <w:pStyle w:val="Normal"/>
        <w:rPr>
          <w:sz w:val="24"/>
        </w:rPr>
      </w:pPr>
      <w:r>
        <w:rPr>
          <w:b/>
          <w:sz w:val="24"/>
        </w:rPr>
        <w:t>Grading and Evaluation Criteria</w:t>
      </w:r>
    </w:p>
    <w:p>
      <w:pPr>
        <w:pStyle w:val="Normal"/>
        <w:rPr>
          <w:sz w:val="24"/>
        </w:rPr>
      </w:pPr>
      <w:r>
        <w:rPr>
          <w:sz w:val="24"/>
        </w:rPr>
      </w:r>
    </w:p>
    <w:p>
      <w:pPr>
        <w:pStyle w:val="Normal"/>
        <w:rPr/>
      </w:pPr>
      <w:r>
        <w:rPr>
          <w:sz w:val="24"/>
        </w:rPr>
        <w:t>60% of the grade is based on a midterm and a final examination. Both examinations are cumulative and given in a varied format. An in-class review will be held prior to each examination.</w:t>
      </w:r>
    </w:p>
    <w:p>
      <w:pPr>
        <w:pStyle w:val="Normal"/>
        <w:rPr>
          <w:sz w:val="24"/>
        </w:rPr>
      </w:pPr>
      <w:r>
        <w:rPr>
          <w:sz w:val="24"/>
        </w:rPr>
      </w:r>
    </w:p>
    <w:p>
      <w:pPr>
        <w:pStyle w:val="Normal"/>
        <w:rPr/>
      </w:pPr>
      <w:r>
        <w:rPr>
          <w:sz w:val="24"/>
        </w:rPr>
        <w:t xml:space="preserve">40% of the grade is based on programming assignments. Assignments are announced following each class meeting. </w:t>
      </w:r>
    </w:p>
    <w:p>
      <w:pPr>
        <w:pStyle w:val="Normal"/>
        <w:rPr>
          <w:sz w:val="24"/>
        </w:rPr>
      </w:pPr>
      <w:r>
        <w:rPr>
          <w:sz w:val="24"/>
        </w:rPr>
      </w:r>
    </w:p>
    <w:p>
      <w:pPr>
        <w:pStyle w:val="Normal"/>
        <w:numPr>
          <w:ilvl w:val="0"/>
          <w:numId w:val="0"/>
        </w:numPr>
        <w:ind w:left="0" w:hanging="0"/>
        <w:rPr>
          <w:b/>
          <w:b/>
          <w:sz w:val="32"/>
        </w:rPr>
      </w:pPr>
      <w:r>
        <w:rPr>
          <w:b/>
          <w:sz w:val="32"/>
        </w:rPr>
      </w:r>
      <w:r>
        <w:br w:type="page"/>
      </w:r>
    </w:p>
    <w:p>
      <w:pPr>
        <w:pStyle w:val="Normal"/>
        <w:numPr>
          <w:ilvl w:val="0"/>
          <w:numId w:val="0"/>
        </w:numPr>
        <w:ind w:left="0" w:hanging="0"/>
        <w:rPr/>
      </w:pPr>
      <w:r>
        <w:rPr>
          <w:b/>
          <w:sz w:val="32"/>
        </w:rPr>
        <w:t>Sample Course Outline (1</w:t>
      </w:r>
      <w:r>
        <w:rPr>
          <w:b/>
          <w:sz w:val="32"/>
        </w:rPr>
        <w:t>6</w:t>
      </w:r>
      <w:r>
        <w:rPr>
          <w:b/>
          <w:sz w:val="32"/>
        </w:rPr>
        <w:t xml:space="preserve">-week) </w:t>
      </w:r>
    </w:p>
    <w:p>
      <w:pPr>
        <w:pStyle w:val="BodyText2"/>
        <w:rPr>
          <w:b/>
          <w:b/>
          <w:sz w:val="32"/>
        </w:rPr>
      </w:pPr>
      <w:r>
        <w:rPr>
          <w:b/>
          <w:sz w:val="32"/>
        </w:rPr>
      </w:r>
    </w:p>
    <w:tbl>
      <w:tblPr>
        <w:tblW w:w="8830"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900"/>
        <w:gridCol w:w="3960"/>
        <w:gridCol w:w="1980"/>
        <w:gridCol w:w="1990"/>
      </w:tblGrid>
      <w:tr>
        <w:trPr>
          <w:trHeight w:val="782" w:hRule="atLeast"/>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rPr>
            </w:pPr>
            <w:r>
              <w:rPr>
                <w:b/>
              </w:rPr>
              <w:t>Week</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rPr>
            </w:pPr>
            <w:r>
              <w:rPr>
                <w:b/>
              </w:rPr>
              <w:t>Topics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rPr>
            </w:pPr>
            <w:r>
              <w:rPr>
                <w:b/>
              </w:rPr>
              <w:t>Chapter</w:t>
            </w:r>
          </w:p>
          <w:p>
            <w:pPr>
              <w:pStyle w:val="BodyText2"/>
              <w:jc w:val="center"/>
              <w:rPr>
                <w:b/>
                <w:b/>
              </w:rPr>
            </w:pPr>
            <w:r>
              <w:rPr>
                <w:b/>
              </w:rPr>
              <w:t>Readings</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BodyText2"/>
              <w:jc w:val="center"/>
              <w:rPr>
                <w:b/>
                <w:b/>
              </w:rPr>
            </w:pPr>
            <w:r>
              <w:rPr>
                <w:b/>
              </w:rPr>
              <w:t>Exams</w:t>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000000"/>
              </w:rPr>
            </w:pPr>
            <w:r>
              <w:rPr>
                <w:color w:val="000000"/>
              </w:rPr>
              <w:t>Introduction to PL/SQL</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 xml:space="preserve">Chapter 1 </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2</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000000"/>
              </w:rPr>
            </w:pPr>
            <w:r>
              <w:rPr>
                <w:color w:val="000000"/>
              </w:rPr>
              <w:t>Basic PL/SQL Block Structures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2</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3</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rPr>
                <w:color w:val="000000"/>
                <w:sz w:val="20"/>
              </w:rPr>
            </w:pPr>
            <w:r>
              <w:rPr>
                <w:color w:val="000000"/>
                <w:sz w:val="20"/>
              </w:rPr>
              <w:t>Handling Data in PL/SQL Blocks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3</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4</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000000"/>
              </w:rPr>
            </w:pPr>
            <w:r>
              <w:rPr>
                <w:color w:val="000000"/>
              </w:rPr>
              <w:t>Cursors and Exception Handling</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4</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5</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000000"/>
              </w:rPr>
            </w:pPr>
            <w:r>
              <w:rPr>
                <w:color w:val="000000"/>
              </w:rPr>
              <w:t>Procedures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5</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6</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pPr>
            <w:r>
              <w:rPr/>
              <w:t>Review &amp; Practice</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7</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rPr>
                <w:b/>
                <w:b/>
                <w:color w:val="000000"/>
                <w:sz w:val="20"/>
              </w:rPr>
            </w:pPr>
            <w:r>
              <w:rPr>
                <w:b/>
                <w:color w:val="000000"/>
                <w:sz w:val="20"/>
              </w:rPr>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jc w:val="center"/>
              <w:rPr/>
            </w:pPr>
            <w:r>
              <w:rPr>
                <w:color w:val="000000"/>
                <w:sz w:val="20"/>
              </w:rPr>
              <w:t>Midterm Exam</w:t>
            </w:r>
          </w:p>
        </w:tc>
      </w:tr>
      <w:tr>
        <w:trPr>
          <w:trHeight w:val="107" w:hRule="atLeast"/>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8</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000000"/>
              </w:rPr>
            </w:pPr>
            <w:r>
              <w:rPr>
                <w:color w:val="000000"/>
              </w:rPr>
              <w:t>Functions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6</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rHeight w:val="107" w:hRule="atLeast"/>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9</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000000"/>
              </w:rPr>
            </w:pPr>
            <w:r>
              <w:rPr>
                <w:color w:val="000000"/>
              </w:rPr>
              <w:t>PL/SQL Packages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7</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10</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rPr>
                <w:color w:val="000000"/>
              </w:rPr>
            </w:pPr>
            <w:r>
              <w:rPr>
                <w:color w:val="000000"/>
              </w:rPr>
              <w:t>Program Unit Dependences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8</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11</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rPr>
                <w:sz w:val="20"/>
              </w:rPr>
            </w:pPr>
            <w:r>
              <w:rPr>
                <w:sz w:val="20"/>
              </w:rPr>
              <w:t>Database Triggers</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9</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12</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rPr>
                <w:sz w:val="20"/>
              </w:rPr>
            </w:pPr>
            <w:r>
              <w:rPr>
                <w:sz w:val="20"/>
              </w:rPr>
              <w:t>Oracles-Supplied Packages, Dynamic SQL, and Hiding Source Code</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jc w:val="center"/>
              <w:rPr>
                <w:color w:val="000000"/>
                <w:sz w:val="20"/>
              </w:rPr>
            </w:pPr>
            <w:r>
              <w:rPr>
                <w:color w:val="000000"/>
                <w:sz w:val="20"/>
              </w:rPr>
              <w:t>Chapter 10</w:t>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13</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rPr>
                <w:sz w:val="20"/>
              </w:rPr>
            </w:pPr>
            <w:r>
              <w:rPr>
                <w:sz w:val="20"/>
              </w:rPr>
              <w:t>Review &amp; Practice</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r>
      <w:tr>
        <w:trPr/>
        <w:tc>
          <w:tcPr>
            <w:tcW w:w="900"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14</w:t>
            </w:r>
          </w:p>
        </w:tc>
        <w:tc>
          <w:tcPr>
            <w:tcW w:w="39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rPr>
                <w:b w:val="false"/>
                <w:b w:val="false"/>
                <w:bCs w:val="false"/>
                <w:sz w:val="20"/>
              </w:rPr>
            </w:pPr>
            <w:r>
              <w:rPr>
                <w:b w:val="false"/>
                <w:bCs w:val="false"/>
                <w:sz w:val="20"/>
              </w:rPr>
              <w:t>Project</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c>
          <w:tcPr>
            <w:tcW w:w="1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jc w:val="center"/>
              <w:rPr>
                <w:color w:val="000000"/>
                <w:sz w:val="20"/>
              </w:rPr>
            </w:pPr>
            <w:r>
              <w:rPr>
                <w:color w:val="000000"/>
                <w:sz w:val="20"/>
              </w:rPr>
            </w:r>
          </w:p>
        </w:tc>
      </w:tr>
      <w:tr>
        <w:trPr/>
        <w:tc>
          <w:tcPr>
            <w:tcW w:w="900" w:type="dxa"/>
            <w:tcBorders>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15</w:t>
            </w:r>
          </w:p>
        </w:tc>
        <w:tc>
          <w:tcPr>
            <w:tcW w:w="3960" w:type="dxa"/>
            <w:tcBorders>
              <w:left w:val="single" w:sz="4" w:space="0" w:color="000000"/>
              <w:bottom w:val="single" w:sz="4" w:space="0" w:color="000000"/>
              <w:insideH w:val="single" w:sz="4" w:space="0" w:color="000000"/>
            </w:tcBorders>
            <w:shd w:fill="auto" w:val="clear"/>
            <w:tcMar>
              <w:left w:w="103" w:type="dxa"/>
            </w:tcMar>
          </w:tcPr>
          <w:p>
            <w:pPr>
              <w:pStyle w:val="BodyText2"/>
              <w:snapToGrid w:val="false"/>
              <w:rPr>
                <w:b w:val="false"/>
                <w:b w:val="false"/>
                <w:bCs w:val="false"/>
                <w:sz w:val="20"/>
              </w:rPr>
            </w:pPr>
            <w:r>
              <w:rPr>
                <w:b w:val="false"/>
                <w:bCs w:val="false"/>
                <w:sz w:val="20"/>
              </w:rPr>
              <w:t>Project</w:t>
            </w:r>
          </w:p>
        </w:tc>
        <w:tc>
          <w:tcPr>
            <w:tcW w:w="1980" w:type="dxa"/>
            <w:tcBorders>
              <w:left w:val="single" w:sz="4" w:space="0" w:color="000000"/>
              <w:bottom w:val="single" w:sz="4" w:space="0" w:color="000000"/>
              <w:insideH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c>
          <w:tcPr>
            <w:tcW w:w="199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jc w:val="center"/>
              <w:rPr>
                <w:color w:val="000000"/>
                <w:sz w:val="20"/>
              </w:rPr>
            </w:pPr>
            <w:r>
              <w:rPr>
                <w:color w:val="000000"/>
                <w:sz w:val="20"/>
              </w:rPr>
            </w:r>
          </w:p>
        </w:tc>
      </w:tr>
      <w:tr>
        <w:trPr/>
        <w:tc>
          <w:tcPr>
            <w:tcW w:w="900" w:type="dxa"/>
            <w:tcBorders>
              <w:left w:val="single" w:sz="4" w:space="0" w:color="000000"/>
              <w:bottom w:val="single" w:sz="4" w:space="0" w:color="000000"/>
              <w:insideH w:val="single" w:sz="4" w:space="0" w:color="000000"/>
            </w:tcBorders>
            <w:shd w:fill="auto" w:val="clear"/>
            <w:tcMar>
              <w:left w:w="103" w:type="dxa"/>
            </w:tcMar>
            <w:vAlign w:val="center"/>
          </w:tcPr>
          <w:p>
            <w:pPr>
              <w:pStyle w:val="BodyText2"/>
              <w:jc w:val="center"/>
              <w:rPr>
                <w:b/>
                <w:b/>
                <w:sz w:val="20"/>
              </w:rPr>
            </w:pPr>
            <w:r>
              <w:rPr>
                <w:b/>
                <w:sz w:val="20"/>
              </w:rPr>
              <w:t>16</w:t>
            </w:r>
          </w:p>
        </w:tc>
        <w:tc>
          <w:tcPr>
            <w:tcW w:w="3960" w:type="dxa"/>
            <w:tcBorders>
              <w:left w:val="single" w:sz="4" w:space="0" w:color="000000"/>
              <w:bottom w:val="single" w:sz="4" w:space="0" w:color="000000"/>
              <w:insideH w:val="single" w:sz="4" w:space="0" w:color="000000"/>
            </w:tcBorders>
            <w:shd w:fill="auto" w:val="clear"/>
            <w:tcMar>
              <w:left w:w="103" w:type="dxa"/>
            </w:tcMar>
          </w:tcPr>
          <w:p>
            <w:pPr>
              <w:pStyle w:val="BodyText2"/>
              <w:snapToGrid w:val="false"/>
              <w:rPr>
                <w:b/>
                <w:b/>
                <w:sz w:val="20"/>
              </w:rPr>
            </w:pPr>
            <w:r>
              <w:rPr>
                <w:b/>
                <w:sz w:val="20"/>
              </w:rPr>
            </w:r>
          </w:p>
        </w:tc>
        <w:tc>
          <w:tcPr>
            <w:tcW w:w="1980" w:type="dxa"/>
            <w:tcBorders>
              <w:left w:val="single" w:sz="4" w:space="0" w:color="000000"/>
              <w:bottom w:val="single" w:sz="4" w:space="0" w:color="000000"/>
              <w:insideH w:val="single" w:sz="4" w:space="0" w:color="000000"/>
            </w:tcBorders>
            <w:shd w:fill="auto" w:val="clear"/>
            <w:tcMar>
              <w:left w:w="103" w:type="dxa"/>
            </w:tcMar>
          </w:tcPr>
          <w:p>
            <w:pPr>
              <w:pStyle w:val="BodyText2"/>
              <w:snapToGrid w:val="false"/>
              <w:jc w:val="center"/>
              <w:rPr>
                <w:color w:val="000000"/>
                <w:sz w:val="20"/>
              </w:rPr>
            </w:pPr>
            <w:r>
              <w:rPr>
                <w:color w:val="000000"/>
                <w:sz w:val="20"/>
              </w:rPr>
            </w:r>
          </w:p>
        </w:tc>
        <w:tc>
          <w:tcPr>
            <w:tcW w:w="199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jc w:val="center"/>
              <w:rPr>
                <w:color w:val="000000"/>
                <w:sz w:val="20"/>
              </w:rPr>
            </w:pPr>
            <w:r>
              <w:rPr>
                <w:color w:val="000000"/>
                <w:sz w:val="20"/>
              </w:rPr>
              <w:t>Final Exam</w:t>
            </w:r>
          </w:p>
        </w:tc>
      </w:tr>
    </w:tbl>
    <w:p>
      <w:pPr>
        <w:pStyle w:val="BodyText2"/>
        <w:rPr/>
      </w:pPr>
      <w:r>
        <w:rPr/>
      </w:r>
    </w:p>
    <w:p>
      <w:pPr>
        <w:pStyle w:val="Heading3"/>
        <w:numPr>
          <w:ilvl w:val="2"/>
          <w:numId w:val="2"/>
        </w:numPr>
        <w:rPr/>
      </w:pPr>
      <w:r>
        <w:rPr>
          <w:rStyle w:val="StrongEmphasis"/>
          <w:rFonts w:ascii="Times New Roman" w:hAnsi="Times New Roman"/>
          <w:b/>
          <w:i w:val="false"/>
          <w:caps w:val="false"/>
          <w:smallCaps w:val="false"/>
          <w:color w:val="333333"/>
          <w:spacing w:val="0"/>
          <w:sz w:val="36"/>
        </w:rPr>
        <w:t>Campus Services and Resources</w:t>
      </w:r>
    </w:p>
    <w:p>
      <w:pPr>
        <w:pStyle w:val="HorizontalLine"/>
        <w:rPr>
          <w:rFonts w:ascii="Times New Roman" w:hAnsi="Times New Roman"/>
        </w:rPr>
      </w:pPr>
      <w:r>
        <w:rPr>
          <w:rFonts w:ascii="Times New Roman" w:hAnsi="Times New Roman"/>
        </w:rPr>
      </w:r>
    </w:p>
    <w:p>
      <w:pPr>
        <w:pStyle w:val="TextBody"/>
        <w:widowControl/>
        <w:spacing w:before="0" w:after="150"/>
        <w:ind w:left="0" w:right="0" w:hanging="0"/>
        <w:rPr/>
      </w:pPr>
      <w:r>
        <w:rPr>
          <w:rStyle w:val="StrongEmphasis"/>
          <w:b/>
          <w:i w:val="false"/>
          <w:caps w:val="false"/>
          <w:smallCaps w:val="false"/>
          <w:color w:val="333333"/>
          <w:spacing w:val="0"/>
          <w:sz w:val="24"/>
          <w:szCs w:val="24"/>
        </w:rPr>
        <w:t xml:space="preserve">Counseling Services: </w:t>
      </w:r>
      <w:r>
        <w:rPr>
          <w:b w:val="false"/>
          <w:i w:val="false"/>
          <w:caps w:val="false"/>
          <w:smallCaps w:val="false"/>
          <w:color w:val="333333"/>
          <w:spacing w:val="0"/>
          <w:sz w:val="24"/>
          <w:szCs w:val="24"/>
        </w:rPr>
        <w:t>If you experience any personal discomfort, confusion, or distress during the semester, you do not have to face those issues alone. You are encouraged to contact one of the campus or community agencies available to you. Often at no or reduced cost, these agencies can provide counseling, support, and appropriate referrals. The YSU Counseling Center provides a comfortable environment in which to discuss these problems and possible solutions. The YSU Counseling Center provides professional assessment, short-term counseling, consultation, and referral services to students who are currently enrolled at YSU. Please contact the YSU Counseling Center at (330) 941-3737 to make an appointment. The YSU Counseling Center is located in Room 3001 in Jones Hall.</w:t>
      </w:r>
    </w:p>
    <w:p>
      <w:pPr>
        <w:pStyle w:val="TextBody"/>
        <w:widowControl/>
        <w:spacing w:before="0" w:after="150"/>
        <w:ind w:left="0" w:right="0" w:hanging="0"/>
        <w:rPr>
          <w:rFonts w:ascii="Times New Roman" w:hAnsi="Times New Roman"/>
          <w:caps w:val="false"/>
          <w:smallCaps w:val="false"/>
          <w:color w:val="333333"/>
          <w:spacing w:val="0"/>
          <w:sz w:val="24"/>
          <w:szCs w:val="24"/>
        </w:rPr>
      </w:pPr>
      <w:r>
        <w:rPr>
          <w:rFonts w:ascii="Times New Roman" w:hAnsi="Times New Roman"/>
          <w:caps w:val="false"/>
          <w:smallCaps w:val="false"/>
          <w:color w:val="333333"/>
          <w:spacing w:val="0"/>
          <w:sz w:val="24"/>
          <w:szCs w:val="24"/>
        </w:rPr>
      </w:r>
    </w:p>
    <w:p>
      <w:pPr>
        <w:pStyle w:val="TextBody"/>
        <w:widowControl/>
        <w:spacing w:before="0" w:after="150"/>
        <w:ind w:left="0" w:right="0" w:hanging="0"/>
        <w:rPr/>
      </w:pPr>
      <w:r>
        <w:rPr>
          <w:rStyle w:val="StrongEmphasis"/>
          <w:b/>
          <w:i w:val="false"/>
          <w:caps w:val="false"/>
          <w:smallCaps w:val="false"/>
          <w:color w:val="333333"/>
          <w:spacing w:val="0"/>
          <w:sz w:val="24"/>
          <w:szCs w:val="24"/>
        </w:rPr>
        <w:t xml:space="preserve">Marion G. Resch Center for Student Progress Services (CSP): </w:t>
      </w:r>
      <w:r>
        <w:rPr>
          <w:b w:val="false"/>
          <w:i w:val="false"/>
          <w:caps w:val="false"/>
          <w:smallCaps w:val="false"/>
          <w:color w:val="333333"/>
          <w:spacing w:val="0"/>
          <w:sz w:val="24"/>
          <w:szCs w:val="24"/>
        </w:rPr>
        <w:t>The CSP is a resource on campus established to help students successfully complete their university experience. Please call (330) 941-3538 or visit the CSP for individualized assistance with achieving social and academic success. The CSP is located in Kilcawley West below the YSU Bookstore, and CSP Disability Services is located at 275 Fifth Avenue.</w:t>
      </w:r>
    </w:p>
    <w:p>
      <w:pPr>
        <w:pStyle w:val="TextBody"/>
        <w:widowControl/>
        <w:spacing w:before="0" w:after="150"/>
        <w:ind w:left="0" w:right="0" w:hanging="0"/>
        <w:rPr>
          <w:rFonts w:ascii="Times New Roman" w:hAnsi="Times New Roman"/>
          <w:caps w:val="false"/>
          <w:smallCaps w:val="false"/>
          <w:color w:val="333333"/>
          <w:spacing w:val="0"/>
          <w:sz w:val="24"/>
          <w:szCs w:val="24"/>
        </w:rPr>
      </w:pPr>
      <w:r>
        <w:rPr>
          <w:rFonts w:ascii="Times New Roman" w:hAnsi="Times New Roman"/>
          <w:caps w:val="false"/>
          <w:smallCaps w:val="false"/>
          <w:color w:val="333333"/>
          <w:spacing w:val="0"/>
          <w:sz w:val="24"/>
          <w:szCs w:val="24"/>
        </w:rPr>
      </w:r>
    </w:p>
    <w:p>
      <w:pPr>
        <w:pStyle w:val="TextBody"/>
        <w:widowControl/>
        <w:spacing w:before="0" w:after="150"/>
        <w:ind w:left="0" w:right="0" w:hanging="0"/>
        <w:rPr/>
      </w:pPr>
      <w:r>
        <w:rPr>
          <w:rStyle w:val="StrongEmphasis"/>
          <w:b/>
          <w:i w:val="false"/>
          <w:caps w:val="false"/>
          <w:smallCaps w:val="false"/>
          <w:color w:val="333333"/>
          <w:spacing w:val="0"/>
          <w:sz w:val="24"/>
          <w:szCs w:val="24"/>
        </w:rPr>
        <w:t xml:space="preserve">Students with Disabilities: </w:t>
      </w:r>
      <w:r>
        <w:rPr>
          <w:b w:val="false"/>
          <w:i w:val="false"/>
          <w:caps w:val="false"/>
          <w:smallCaps w:val="false"/>
          <w:color w:val="333333"/>
          <w:spacing w:val="0"/>
          <w:sz w:val="24"/>
          <w:szCs w:val="24"/>
        </w:rPr>
        <w:t>Youngstown State University is committed to providing reasonable accommodations for all persons with disabilities. This syllabus is available in alternative format upon request. In accordance with University procedures, if you have a documented disability and require accommodations to obtain equal access in this course, please contact me privately to discuss your specific needs. You must be registered with the Center for Student Progress Disability Services, located at 275 Fifth Avenue, and provide a letter of accommodation to coordinate reasonable accommodations. You can reach CSP Disability Services at 330-941-1372.</w:t>
      </w:r>
    </w:p>
    <w:p>
      <w:pPr>
        <w:pStyle w:val="TextBody"/>
        <w:widowControl/>
        <w:spacing w:before="0" w:after="150"/>
        <w:ind w:left="0" w:right="0" w:hanging="0"/>
        <w:rPr/>
      </w:pPr>
      <w:r>
        <w:rPr>
          <w:b w:val="false"/>
          <w:i w:val="false"/>
          <w:caps w:val="false"/>
          <w:smallCaps w:val="false"/>
          <w:color w:val="333333"/>
          <w:spacing w:val="0"/>
          <w:sz w:val="24"/>
          <w:szCs w:val="24"/>
        </w:rPr>
        <w:t>Youngstown State University does not discriminate on the basis of race, color, national origin, sex, sexual orientation, gender identity and/or expression, disability, age, religion or veteran/military status in its programs or activities. Please visit www.ysu.edu/ada-accessibility for contact information for persons designated to handle questions about this policy.</w:t>
      </w:r>
    </w:p>
    <w:p>
      <w:pPr>
        <w:pStyle w:val="Normal"/>
        <w:rPr/>
      </w:pPr>
      <w:r>
        <w:rPr/>
      </w:r>
    </w:p>
    <w:p>
      <w:pPr>
        <w:pStyle w:val="Normal"/>
        <w:numPr>
          <w:ilvl w:val="0"/>
          <w:numId w:val="0"/>
        </w:numPr>
        <w:ind w:left="-540" w:hanging="0"/>
        <w:rPr>
          <w:b/>
          <w:b/>
        </w:rPr>
      </w:pPr>
      <w:r>
        <w:rPr>
          <w:sz w:val="32"/>
        </w:rPr>
      </w:r>
    </w:p>
    <w:sectPr>
      <w:headerReference w:type="default" r:id="rId2"/>
      <w:footerReference w:type="default" r:id="rId3"/>
      <w:type w:val="nextPage"/>
      <w:pgSz w:w="12240" w:h="15840"/>
      <w:pgMar w:left="1440" w:right="1440" w:header="720" w:top="1440" w:footer="720" w:bottom="1440"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alatino">
    <w:altName w:val="Book Antiqua"/>
    <w:charset w:val="00"/>
    <w:family w:val="roman"/>
    <w:pitch w:val="variable"/>
  </w:font>
  <w:font w:name="Wingdings">
    <w:charset w:val="02"/>
    <w:family w:val="auto"/>
    <w:pitch w:val="variable"/>
  </w:font>
  <w:font w:name="Symbol">
    <w:charset w:val="01"/>
    <w:family w:val="roman"/>
    <w:pitch w:val="variable"/>
  </w:font>
  <w:font w:name="Courier New">
    <w:charset w:val="00"/>
    <w:family w:val="modern"/>
    <w:pitch w:val="default"/>
  </w:font>
  <w:font w:name="Liberation Sans">
    <w:altName w:val="Arial"/>
    <w:charset w:val="01"/>
    <w:family w:val="swiss"/>
    <w:pitch w:val="variable"/>
  </w:font>
  <w:font w:name="Book Antiqua">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5">
              <wp:simplePos x="0" y="0"/>
              <wp:positionH relativeFrom="margin">
                <wp:align>center</wp:align>
              </wp:positionH>
              <wp:positionV relativeFrom="paragraph">
                <wp:posOffset>635</wp:posOffset>
              </wp:positionV>
              <wp:extent cx="64135" cy="146050"/>
              <wp:effectExtent l="0" t="0" r="0" b="0"/>
              <wp:wrapSquare wrapText="largest"/>
              <wp:docPr id="1" name="Frame1"/>
              <a:graphic xmlns:a="http://schemas.openxmlformats.org/drawingml/2006/main">
                <a:graphicData uri="http://schemas.microsoft.com/office/word/2010/wordprocessingShape">
                  <wps:wsp>
                    <wps:cNvSpPr txBox="1"/>
                    <wps:spPr>
                      <a:xfrm>
                        <a:off x="0" y="0"/>
                        <a:ext cx="64135" cy="146050"/>
                      </a:xfrm>
                      <a:prstGeom prst="rect"/>
                      <a:solidFill>
                        <a:srgbClr val="FFFFFF">
                          <a:alpha val="0"/>
                        </a:srgbClr>
                      </a:solidFill>
                    </wps:spPr>
                    <wps:txbx>
                      <w:txbxContent>
                        <w:p>
                          <w:pPr>
                            <w:pStyle w:val="Footer"/>
                            <w:rPr>
                              <w:rStyle w:val="PageNumber"/>
                            </w:rPr>
                          </w:pPr>
                          <w:r>
                            <w:rPr>
                              <w:rStyle w:val="PageNumber"/>
                            </w:rPr>
                            <w:fldChar w:fldCharType="begin"/>
                          </w:r>
                          <w:r>
                            <w:instrText> PAGE </w:instrText>
                          </w:r>
                          <w:r>
                            <w:fldChar w:fldCharType="separate"/>
                          </w:r>
                          <w:r>
                            <w:t>4</w:t>
                          </w:r>
                          <w:r>
                            <w:fldChar w:fldCharType="end"/>
                          </w:r>
                        </w:p>
                      </w:txbxContent>
                    </wps:txbx>
                    <wps:bodyPr anchor="t">
                      <a:noAutofit/>
                    </wps:bodyPr>
                  </wps:wsp>
                </a:graphicData>
              </a:graphic>
            </wp:anchor>
          </w:drawing>
        </mc:Choice>
        <mc:Fallback>
          <w:pict>
            <v:rect fillcolor="#FFFFFF" style="position:absolute;rotation:0;width:5.05pt;height:11.5pt;margin-top:0.05pt;mso-position-vertical-relative:text;margin-left:231.5pt;mso-position-horizontal:center;mso-position-horizontal-relative:margin">
              <v:fill opacity="0f"/>
              <v:textbox>
                <w:txbxContent>
                  <w:p>
                    <w:pPr>
                      <w:pStyle w:val="Footer"/>
                      <w:rPr>
                        <w:rStyle w:val="PageNumber"/>
                      </w:rPr>
                    </w:pPr>
                    <w:r>
                      <w:rPr>
                        <w:rStyle w:val="PageNumber"/>
                      </w:rPr>
                      <w:fldChar w:fldCharType="begin"/>
                    </w:r>
                    <w:r>
                      <w:instrText> PAGE </w:instrText>
                    </w:r>
                    <w:r>
                      <w:fldChar w:fldCharType="separate"/>
                    </w:r>
                    <w:r>
                      <w:t>4</w:t>
                    </w:r>
                    <w: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uppressAutoHyphens w:val="true"/>
      <w:autoSpaceDE w:val="false"/>
      <w:rPr/>
    </w:pPr>
    <w:r>
      <w:rPr>
        <w:color w:val="000000"/>
      </w:rPr>
      <w:t>Oracle 11</w:t>
    </w:r>
    <w:r>
      <w:rPr>
        <w:i/>
        <w:color w:val="000000"/>
      </w:rPr>
      <w:t>g</w:t>
    </w:r>
    <w:r>
      <w:rPr>
        <w:color w:val="000000"/>
      </w:rPr>
      <w:t>: PL/SQL Programming</w:t>
    </w:r>
  </w:p>
  <w:p>
    <w:pPr>
      <w:pStyle w:val="Header"/>
      <w:rPr/>
    </w:pPr>
    <w:r>
      <w:rPr/>
      <w:t xml:space="preserve">Syllabus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numPr>
        <w:ilvl w:val="0"/>
        <w:numId w:val="1"/>
      </w:numPr>
      <w:outlineLvl w:val="0"/>
      <w:outlineLvl w:val="0"/>
    </w:pPr>
    <w:rPr>
      <w:b/>
      <w:i/>
    </w:rPr>
  </w:style>
  <w:style w:type="paragraph" w:styleId="Heading2">
    <w:name w:val="Heading 2"/>
    <w:basedOn w:val="Normal"/>
    <w:next w:val="Normal"/>
    <w:qFormat/>
    <w:pPr>
      <w:keepNext/>
      <w:numPr>
        <w:ilvl w:val="1"/>
        <w:numId w:val="1"/>
      </w:numPr>
      <w:outlineLvl w:val="1"/>
      <w:outlineLvl w:val="1"/>
    </w:pPr>
    <w:rPr>
      <w:rFonts w:ascii="Palatino;Book Antiqua" w:hAnsi="Palatino;Book Antiqua" w:cs="Palatino;Book Antiqua"/>
      <w:b/>
      <w:sz w:val="28"/>
    </w:rPr>
  </w:style>
  <w:style w:type="paragraph" w:styleId="Heading3">
    <w:name w:val="Heading 3"/>
    <w:basedOn w:val="Normal"/>
    <w:next w:val="Normal"/>
    <w:qFormat/>
    <w:pPr>
      <w:keepNext/>
      <w:numPr>
        <w:ilvl w:val="2"/>
        <w:numId w:val="1"/>
      </w:numPr>
      <w:spacing w:before="240" w:after="60"/>
      <w:outlineLvl w:val="2"/>
      <w:outlineLvl w:val="2"/>
    </w:pPr>
    <w:rPr>
      <w:rFonts w:ascii="Arial" w:hAnsi="Arial" w:cs="Arial"/>
      <w:b/>
      <w:bCs/>
      <w:sz w:val="26"/>
      <w:szCs w:val="26"/>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Grame">
    <w:name w:val="grame"/>
    <w:basedOn w:val="DefaultParagraphFont"/>
    <w:qFormat/>
    <w:rPr/>
  </w:style>
  <w:style w:type="character" w:styleId="StrongEmphasis">
    <w:name w:val="Strong Emphasis"/>
    <w:qFormat/>
    <w:rPr>
      <w:b/>
      <w:bCs/>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Text2">
    <w:name w:val="Body Text 2"/>
    <w:basedOn w:val="Normal"/>
    <w:qFormat/>
    <w:pPr/>
    <w:rPr>
      <w:sz w:val="24"/>
    </w:rPr>
  </w:style>
  <w:style w:type="paragraph" w:styleId="Style11">
    <w:name w:val="Style1"/>
    <w:basedOn w:val="Normal"/>
    <w:next w:val="Heading3"/>
    <w:qFormat/>
    <w:pPr/>
    <w:rPr>
      <w:b/>
      <w:sz w:val="28"/>
    </w:rPr>
  </w:style>
  <w:style w:type="paragraph" w:styleId="Section">
    <w:name w:val="Section"/>
    <w:basedOn w:val="Normal"/>
    <w:qFormat/>
    <w:pPr/>
    <w:rPr>
      <w:b/>
      <w:sz w:val="36"/>
    </w:rPr>
  </w:style>
  <w:style w:type="paragraph" w:styleId="AHead">
    <w:name w:val="A Head"/>
    <w:basedOn w:val="Normal"/>
    <w:qFormat/>
    <w:pPr/>
    <w:rPr>
      <w:b/>
      <w:sz w:val="32"/>
    </w:rPr>
  </w:style>
  <w:style w:type="paragraph" w:styleId="After">
    <w:name w:val="after"/>
    <w:basedOn w:val="Normal"/>
    <w:qFormat/>
    <w:pPr>
      <w:spacing w:before="0" w:after="280"/>
    </w:pPr>
    <w:rPr>
      <w:sz w:val="24"/>
      <w:szCs w:val="24"/>
    </w:rPr>
  </w:style>
  <w:style w:type="paragraph" w:styleId="BlockText">
    <w:name w:val="Block Text"/>
    <w:basedOn w:val="Normal"/>
    <w:qFormat/>
    <w:pPr>
      <w:tabs>
        <w:tab w:val="left" w:pos="9180" w:leader="none"/>
      </w:tabs>
      <w:ind w:left="720" w:right="108" w:hanging="0"/>
    </w:pPr>
    <w:rPr>
      <w:rFonts w:ascii="Book Antiqua" w:hAnsi="Book Antiqua" w:cs="Book Antiqua"/>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TotalTime>
  <Application>LibreOffice/5.1.6.2$Linux_X86_64 LibreOffice_project/10m0$Build-2</Application>
  <Pages>4</Pages>
  <Words>685</Words>
  <Characters>4033</Characters>
  <CharactersWithSpaces>4651</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2007-08-06T14:30:00Z</dcterms:created>
  <dc:creator>Paul Nagin</dc:creator>
  <dc:description/>
  <dc:language>en-US</dc:language>
  <cp:lastModifiedBy/>
  <dcterms:modified xsi:type="dcterms:W3CDTF">2017-01-09T22:15:12Z</dcterms:modified>
  <cp:revision>10</cp:revision>
  <dc:subject/>
  <dc:title>Preface: How to Use the Instructor’s Manual</dc:title>
</cp:coreProperties>
</file>